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930" w:rsidRDefault="002450CC">
      <w:pPr>
        <w:rPr>
          <w:b/>
          <w:sz w:val="40"/>
          <w:szCs w:val="40"/>
        </w:rPr>
      </w:pPr>
      <w:r>
        <w:rPr>
          <w:b/>
          <w:sz w:val="40"/>
          <w:szCs w:val="40"/>
        </w:rPr>
        <w:t>Barstow</w:t>
      </w:r>
    </w:p>
    <w:p w:rsidR="002450CC" w:rsidRDefault="002450CC">
      <w:pPr>
        <w:rPr>
          <w:b/>
          <w:sz w:val="40"/>
          <w:szCs w:val="40"/>
        </w:rPr>
      </w:pPr>
      <w:r>
        <w:rPr>
          <w:b/>
          <w:sz w:val="40"/>
          <w:szCs w:val="40"/>
        </w:rPr>
        <w:t>1</w:t>
      </w:r>
      <w:r w:rsidRPr="002450CC">
        <w:rPr>
          <w:b/>
          <w:sz w:val="40"/>
          <w:szCs w:val="40"/>
          <w:vertAlign w:val="superscript"/>
        </w:rPr>
        <w:t>st</w:t>
      </w:r>
      <w:r>
        <w:rPr>
          <w:b/>
          <w:sz w:val="40"/>
          <w:szCs w:val="40"/>
        </w:rPr>
        <w:t xml:space="preserve"> and 2</w:t>
      </w:r>
      <w:r w:rsidRPr="002450CC">
        <w:rPr>
          <w:b/>
          <w:sz w:val="40"/>
          <w:szCs w:val="40"/>
          <w:vertAlign w:val="superscript"/>
        </w:rPr>
        <w:t>nd</w:t>
      </w:r>
      <w:r>
        <w:rPr>
          <w:b/>
          <w:sz w:val="40"/>
          <w:szCs w:val="40"/>
        </w:rPr>
        <w:t xml:space="preserve"> Quarters Combined</w:t>
      </w:r>
    </w:p>
    <w:p w:rsidR="002450CC" w:rsidRDefault="002450CC">
      <w:pPr>
        <w:rPr>
          <w:b/>
          <w:sz w:val="40"/>
          <w:szCs w:val="40"/>
        </w:rPr>
      </w:pPr>
    </w:p>
    <w:p w:rsidR="002450CC" w:rsidRPr="002450CC" w:rsidRDefault="002450CC">
      <w:pPr>
        <w:rPr>
          <w:b/>
          <w:sz w:val="40"/>
          <w:szCs w:val="40"/>
        </w:rPr>
      </w:pPr>
      <w:bookmarkStart w:id="0" w:name="_GoBack"/>
      <w:r w:rsidRPr="002450CC">
        <w:rPr>
          <w:noProof/>
        </w:rPr>
        <w:drawing>
          <wp:inline distT="0" distB="0" distL="0" distR="0" wp14:anchorId="167321DC" wp14:editId="7FC32F23">
            <wp:extent cx="9239250" cy="57816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2450CC" w:rsidRPr="002450CC" w:rsidSect="002450C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0CC"/>
    <w:rsid w:val="00206930"/>
    <w:rsid w:val="0024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4B509-46DD-4116-B60E-14F40795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i="1">
                <a:latin typeface="Californian FB" panose="0207040306080B030204" pitchFamily="18" charset="0"/>
              </a:rPr>
              <a:t>84 Homes Sold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8012761918273726"/>
          <c:y val="8.3832487896691454E-2"/>
          <c:w val="0.80271236365724552"/>
          <c:h val="0.88403899224145033"/>
        </c:manualLayout>
      </c:layout>
      <c:bar3DChart>
        <c:barDir val="bar"/>
        <c:grouping val="stacked"/>
        <c:varyColors val="0"/>
        <c:ser>
          <c:idx val="0"/>
          <c:order val="0"/>
          <c:tx>
            <c:strRef>
              <c:f>'[Template (1).xlsx]Sheet1'!$B$1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'[Template (1).xlsx]Sheet1'!$A$2:$A$15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'[Template (1).xlsx]Sheet1'!$B$2:$B$15</c:f>
              <c:numCache>
                <c:formatCode>General</c:formatCode>
                <c:ptCount val="14"/>
                <c:pt idx="0">
                  <c:v>31</c:v>
                </c:pt>
                <c:pt idx="1">
                  <c:v>19</c:v>
                </c:pt>
                <c:pt idx="2">
                  <c:v>23</c:v>
                </c:pt>
                <c:pt idx="3">
                  <c:v>4</c:v>
                </c:pt>
                <c:pt idx="4">
                  <c:v>4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59036456"/>
        <c:axId val="359036064"/>
        <c:axId val="0"/>
      </c:bar3DChart>
      <c:catAx>
        <c:axId val="3590364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59036064"/>
        <c:crosses val="autoZero"/>
        <c:auto val="1"/>
        <c:lblAlgn val="ctr"/>
        <c:lblOffset val="100"/>
        <c:noMultiLvlLbl val="0"/>
      </c:catAx>
      <c:valAx>
        <c:axId val="35903606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59036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0.19691</cdr:x>
      <cdr:y>0.56343</cdr:y>
    </cdr:from>
    <cdr:to>
      <cdr:x>0.45464</cdr:x>
      <cdr:y>0.60626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819275" y="3257550"/>
          <a:ext cx="2381250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/>
            <a:t>SqFt</a:t>
          </a:r>
          <a:r>
            <a:rPr lang="en-US" sz="1100" baseline="0"/>
            <a:t> </a:t>
          </a:r>
          <a:r>
            <a:rPr lang="en-US" sz="1100" b="1" baseline="0"/>
            <a:t>2,320</a:t>
          </a:r>
          <a:r>
            <a:rPr lang="en-US" sz="1100" baseline="0"/>
            <a:t> - Year Built </a:t>
          </a:r>
          <a:r>
            <a:rPr lang="en-US" sz="1100" b="1" baseline="0"/>
            <a:t>2006</a:t>
          </a:r>
          <a:endParaRPr lang="en-US" sz="1100" b="1"/>
        </a:p>
      </cdr:txBody>
    </cdr:sp>
  </cdr:relSizeAnchor>
  <cdr:relSizeAnchor xmlns:cdr="http://schemas.openxmlformats.org/drawingml/2006/chartDrawing">
    <cdr:from>
      <cdr:x>0.19691</cdr:x>
      <cdr:y>0.62603</cdr:y>
    </cdr:from>
    <cdr:to>
      <cdr:x>0.6134</cdr:x>
      <cdr:y>0.66722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819275" y="3619500"/>
          <a:ext cx="3848100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1,981</a:t>
          </a:r>
          <a:r>
            <a:rPr lang="en-US" sz="1100" i="1"/>
            <a:t> - Average Year</a:t>
          </a:r>
          <a:r>
            <a:rPr lang="en-US" sz="1100" i="1" baseline="0"/>
            <a:t> Built </a:t>
          </a:r>
          <a:r>
            <a:rPr lang="en-US" sz="1100" b="1" i="1" baseline="0"/>
            <a:t>2007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0.19588</cdr:x>
      <cdr:y>0.68699</cdr:y>
    </cdr:from>
    <cdr:to>
      <cdr:x>0.58041</cdr:x>
      <cdr:y>0.72652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809750" y="3971925"/>
          <a:ext cx="35528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1,852</a:t>
          </a:r>
          <a:r>
            <a:rPr lang="en-US" sz="1100" i="1"/>
            <a:t> - Average Year Built </a:t>
          </a:r>
          <a:r>
            <a:rPr lang="en-US" sz="1100" b="1" i="1"/>
            <a:t>1995</a:t>
          </a:r>
        </a:p>
      </cdr:txBody>
    </cdr:sp>
  </cdr:relSizeAnchor>
  <cdr:relSizeAnchor xmlns:cdr="http://schemas.openxmlformats.org/drawingml/2006/chartDrawing">
    <cdr:from>
      <cdr:x>0.19588</cdr:x>
      <cdr:y>0.74794</cdr:y>
    </cdr:from>
    <cdr:to>
      <cdr:x>0.53505</cdr:x>
      <cdr:y>0.78748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809750" y="4324350"/>
          <a:ext cx="3133725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1,751 </a:t>
          </a:r>
          <a:r>
            <a:rPr lang="en-US" sz="1100" i="1"/>
            <a:t>- Average Year Built </a:t>
          </a:r>
          <a:r>
            <a:rPr lang="en-US" sz="1100" b="1" i="1"/>
            <a:t>1987</a:t>
          </a:r>
        </a:p>
      </cdr:txBody>
    </cdr:sp>
  </cdr:relSizeAnchor>
  <cdr:relSizeAnchor xmlns:cdr="http://schemas.openxmlformats.org/drawingml/2006/chartDrawing">
    <cdr:from>
      <cdr:x>0.19485</cdr:x>
      <cdr:y>0.8089</cdr:y>
    </cdr:from>
    <cdr:to>
      <cdr:x>0.53196</cdr:x>
      <cdr:y>0.84514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800225" y="4676775"/>
          <a:ext cx="3114675" cy="209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</a:t>
          </a:r>
          <a:r>
            <a:rPr lang="en-US" sz="1100" b="1" i="1"/>
            <a:t> 1,590 </a:t>
          </a:r>
          <a:r>
            <a:rPr lang="en-US" sz="1100" i="1"/>
            <a:t>- Average Year Built</a:t>
          </a:r>
          <a:r>
            <a:rPr lang="en-US" sz="1100" i="1" baseline="0"/>
            <a:t> </a:t>
          </a:r>
          <a:r>
            <a:rPr lang="en-US" sz="1100" b="1" i="1" baseline="0"/>
            <a:t>1983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0.19691</cdr:x>
      <cdr:y>0.86985</cdr:y>
    </cdr:from>
    <cdr:to>
      <cdr:x>0.52474</cdr:x>
      <cdr:y>0.90774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819275" y="5029200"/>
          <a:ext cx="3028950" cy="2190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</a:t>
          </a:r>
          <a:r>
            <a:rPr lang="en-US" sz="1100" i="1" baseline="0"/>
            <a:t> </a:t>
          </a:r>
          <a:r>
            <a:rPr lang="en-US" sz="1100" b="1" i="1" baseline="0"/>
            <a:t>1,493</a:t>
          </a:r>
          <a:r>
            <a:rPr lang="en-US" sz="1100" i="1" baseline="0"/>
            <a:t> - Average Year Built </a:t>
          </a:r>
          <a:r>
            <a:rPr lang="en-US" sz="1100" b="1" i="1" baseline="0"/>
            <a:t>1970</a:t>
          </a:r>
          <a:endParaRPr lang="en-US" sz="1100" b="1" i="1"/>
        </a:p>
      </cdr:txBody>
    </cdr:sp>
  </cdr:relSizeAnchor>
  <cdr:relSizeAnchor xmlns:cdr="http://schemas.openxmlformats.org/drawingml/2006/chartDrawing">
    <cdr:from>
      <cdr:x>0.19691</cdr:x>
      <cdr:y>0.93245</cdr:y>
    </cdr:from>
    <cdr:to>
      <cdr:x>0.5299</cdr:x>
      <cdr:y>0.97858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819275" y="5391150"/>
          <a:ext cx="3076575" cy="2667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 i="1"/>
            <a:t>Average SqFt </a:t>
          </a:r>
          <a:r>
            <a:rPr lang="en-US" sz="1100" b="1" i="1"/>
            <a:t>1,234</a:t>
          </a:r>
          <a:r>
            <a:rPr lang="en-US" sz="1100" i="1"/>
            <a:t> - Average Year Built </a:t>
          </a:r>
          <a:r>
            <a:rPr lang="en-US" sz="1100" b="1" i="1"/>
            <a:t>1964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2017-08-11T18:27:00Z</dcterms:created>
  <dcterms:modified xsi:type="dcterms:W3CDTF">2017-08-11T18:35:00Z</dcterms:modified>
</cp:coreProperties>
</file>